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22" w:firstLine="5670"/>
        <w:jc w:val="right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bookmarkStart w:id="0" w:name="_GoBack"/>
      <w:r/>
      <w:bookmarkEnd w:id="0"/>
      <w:r>
        <w:rPr>
          <w:sz w:val="28"/>
          <w:szCs w:val="28"/>
        </w:rPr>
        <w:t xml:space="preserve">РОЕКТ</w:t>
      </w:r>
      <w:r>
        <w:rPr>
          <w:sz w:val="28"/>
          <w:szCs w:val="28"/>
        </w:rPr>
      </w:r>
    </w:p>
    <w:p>
      <w:pPr>
        <w:ind w:firstLine="5670"/>
        <w:jc w:val="right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widowControl w:val="off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ПАСПОРТ</w:t>
      </w:r>
      <w:r>
        <w:rPr>
          <w:sz w:val="28"/>
          <w:szCs w:val="28"/>
        </w:rPr>
      </w:r>
    </w:p>
    <w:p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программы</w:t>
      </w:r>
      <w:r>
        <w:rPr>
          <w:sz w:val="28"/>
          <w:szCs w:val="28"/>
        </w:rPr>
      </w:r>
    </w:p>
    <w:p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транспортной системы Оренбургской области»</w:t>
      </w:r>
      <w:r>
        <w:rPr>
          <w:sz w:val="28"/>
          <w:szCs w:val="28"/>
        </w:rPr>
      </w:r>
    </w:p>
    <w:p>
      <w:pPr>
        <w:contextualSpacing/>
        <w:ind w:right="40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061" w:type="dxa"/>
        <w:tblInd w:w="-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3" w:type="dxa"/>
          <w:top w:w="62" w:type="dxa"/>
          <w:right w:w="21" w:type="dxa"/>
        </w:tblCellMar>
        <w:tblLook w:val="04A0" w:firstRow="1" w:lastRow="0" w:firstColumn="1" w:lastColumn="0" w:noHBand="0" w:noVBand="1"/>
      </w:tblPr>
      <w:tblGrid>
        <w:gridCol w:w="4065"/>
        <w:gridCol w:w="5996"/>
      </w:tblGrid>
      <w:tr>
        <w:tblPrEx/>
        <w:trPr>
          <w:trHeight w:val="217"/>
        </w:trPr>
        <w:tc>
          <w:tcPr>
            <w:shd w:val="clear" w:color="auto" w:fill="auto"/>
            <w:tcW w:w="4065" w:type="dxa"/>
            <w:textDirection w:val="lrTb"/>
            <w:noWrap w:val="false"/>
          </w:tcPr>
          <w:p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государственной программы </w:t>
            </w:r>
            <w:r>
              <w:rPr>
                <w:sz w:val="28"/>
                <w:szCs w:val="28"/>
              </w:rPr>
            </w:r>
          </w:p>
        </w:tc>
        <w:tc>
          <w:tcPr>
            <w:tcW w:w="5996" w:type="dxa"/>
            <w:textDirection w:val="lrTb"/>
            <w:noWrap w:val="false"/>
          </w:tcPr>
          <w:p>
            <w:pPr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министерство строительства, жилищно-коммунального, дорожного хозяйства и транспорта Оренбургской области</w:t>
            </w:r>
            <w:r>
              <w:rPr>
                <w:spacing w:val="-4"/>
                <w:sz w:val="28"/>
                <w:szCs w:val="28"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auto"/>
            <w:tcW w:w="4065" w:type="dxa"/>
            <w:textDirection w:val="lrTb"/>
            <w:noWrap w:val="false"/>
          </w:tcPr>
          <w:p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 реализации государственной программы (комплексной программы)</w:t>
            </w:r>
            <w:r>
              <w:rPr>
                <w:sz w:val="28"/>
                <w:szCs w:val="28"/>
              </w:rPr>
            </w:r>
          </w:p>
        </w:tc>
        <w:tc>
          <w:tcPr>
            <w:tcW w:w="5996" w:type="dxa"/>
            <w:textDirection w:val="lrTb"/>
            <w:noWrap w:val="false"/>
          </w:tcPr>
          <w:p>
            <w:pPr>
              <w:jc w:val="both"/>
              <w:spacing w:line="235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</w:r>
            <w:r>
              <w:rPr>
                <w:spacing w:val="-4"/>
                <w:sz w:val="28"/>
                <w:szCs w:val="28"/>
              </w:rPr>
            </w:r>
          </w:p>
          <w:p>
            <w:pPr>
              <w:jc w:val="both"/>
              <w:spacing w:line="235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2023 – 2030 годы</w:t>
            </w:r>
            <w:r>
              <w:rPr>
                <w:spacing w:val="-4"/>
                <w:sz w:val="28"/>
                <w:szCs w:val="28"/>
              </w:rPr>
            </w:r>
          </w:p>
        </w:tc>
      </w:tr>
      <w:tr>
        <w:tblPrEx/>
        <w:trPr>
          <w:trHeight w:val="3466"/>
        </w:trPr>
        <w:tc>
          <w:tcPr>
            <w:shd w:val="clear" w:color="auto" w:fill="auto"/>
            <w:tcW w:w="4065" w:type="dxa"/>
            <w:textDirection w:val="lrTb"/>
            <w:noWrap w:val="false"/>
          </w:tcPr>
          <w:p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государственной программы </w:t>
            </w:r>
            <w:r>
              <w:rPr>
                <w:sz w:val="28"/>
                <w:szCs w:val="28"/>
              </w:rPr>
            </w:r>
          </w:p>
        </w:tc>
        <w:tc>
          <w:tcPr>
            <w:tcW w:w="5996" w:type="dxa"/>
            <w:textDirection w:val="lrTb"/>
            <w:noWrap w:val="false"/>
          </w:tcPr>
          <w:p>
            <w:pPr>
              <w:spacing w:line="235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развитие современной и эффективной инфраструктуры автомобильных дорог общего пользования регионального и межм</w:t>
            </w:r>
            <w:r>
              <w:rPr>
                <w:spacing w:val="-4"/>
                <w:sz w:val="28"/>
                <w:szCs w:val="28"/>
              </w:rPr>
              <w:t xml:space="preserve">униципального, местного значения, обеспечивающей благоприятные условия для развития экономики и социальной сферы Оренбургской области и дальнейшее развитие устойчиво функционирующей и доступной для всех единой системы общественного пассажирского транспорта</w:t>
            </w:r>
            <w:r>
              <w:rPr>
                <w:spacing w:val="-4"/>
                <w:sz w:val="28"/>
                <w:szCs w:val="28"/>
              </w:rPr>
            </w:r>
          </w:p>
        </w:tc>
      </w:tr>
      <w:tr>
        <w:tblPrEx/>
        <w:trPr>
          <w:trHeight w:val="175"/>
        </w:trPr>
        <w:tc>
          <w:tcPr>
            <w:shd w:val="clear" w:color="auto" w:fill="auto"/>
            <w:tcW w:w="4065" w:type="dxa"/>
            <w:textDirection w:val="lrTb"/>
            <w:noWrap w:val="false"/>
          </w:tcPr>
          <w:p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Направления </w:t>
            </w:r>
            <w:r>
              <w:rPr>
                <w:sz w:val="28"/>
                <w:szCs w:val="28"/>
              </w:rPr>
            </w:r>
          </w:p>
        </w:tc>
        <w:tc>
          <w:tcPr>
            <w:tcW w:w="5996" w:type="dxa"/>
            <w:textDirection w:val="lrTb"/>
            <w:noWrap w:val="false"/>
          </w:tcPr>
          <w:p>
            <w:pPr>
              <w:jc w:val="both"/>
              <w:spacing w:line="235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–</w:t>
            </w:r>
            <w:r>
              <w:rPr>
                <w:spacing w:val="-4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4065" w:type="dxa"/>
            <w:textDirection w:val="lrTb"/>
            <w:noWrap w:val="false"/>
          </w:tcPr>
          <w:p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Показатели государственной 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tcW w:w="5996" w:type="dxa"/>
            <w:textDirection w:val="lrTb"/>
            <w:noWrap w:val="false"/>
          </w:tcPr>
          <w:p>
            <w:pPr>
              <w:pStyle w:val="862"/>
              <w:spacing w:before="0" w:beforeAutospacing="0" w:after="0" w:afterAutospacing="0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</w:t>
            </w:r>
            <w:r>
              <w:rPr>
                <w:sz w:val="28"/>
                <w:szCs w:val="28"/>
              </w:rPr>
              <w:t xml:space="preserve">оля протяженности автомобильных дорог общего пользования регионального и межмуниципального, местного значения, соответствующих нормативным требованиям к транспортно-эксплуатационным показателям, на 31 декабря отчетного года; </w:t>
            </w:r>
            <w:r>
              <w:rPr>
                <w:sz w:val="28"/>
                <w:szCs w:val="28"/>
              </w:rPr>
            </w:r>
          </w:p>
          <w:p>
            <w:pPr>
              <w:pStyle w:val="862"/>
              <w:spacing w:before="0" w:beforeAutospacing="0" w:after="0" w:afterAutospacing="0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протяженности автомобильн</w:t>
            </w:r>
            <w:r>
              <w:rPr>
                <w:sz w:val="28"/>
                <w:szCs w:val="28"/>
              </w:rPr>
              <w:t xml:space="preserve">ых дорог общего пользования регионального и межмуниципального значения, соответствующих нормативным требованиям к транспортно-эксплуатационным показателям, на 31 декабря отчетного года; </w:t>
            </w:r>
            <w:r>
              <w:rPr>
                <w:sz w:val="28"/>
                <w:szCs w:val="28"/>
              </w:rPr>
            </w:r>
          </w:p>
          <w:p>
            <w:pPr>
              <w:pStyle w:val="862"/>
              <w:spacing w:before="0" w:beforeAutospacing="0" w:after="0" w:afterAutospacing="0" w:line="23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протяженности автомобильных дорог общего пользования местного зн</w:t>
            </w:r>
            <w:r>
              <w:rPr>
                <w:sz w:val="28"/>
                <w:szCs w:val="28"/>
              </w:rPr>
              <w:t xml:space="preserve">ачения, соответствующих нормативным требованиям к транспортно-эксплуатационным показателям, на 31 декабря отчетного года; </w:t>
            </w:r>
            <w:r>
              <w:rPr>
                <w:sz w:val="28"/>
                <w:szCs w:val="28"/>
              </w:rPr>
            </w:r>
          </w:p>
          <w:p>
            <w:pPr>
              <w:spacing w:line="233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транспортная подвижность населения;</w:t>
            </w:r>
            <w:r>
              <w:rPr>
                <w:spacing w:val="-4"/>
                <w:sz w:val="28"/>
                <w:szCs w:val="28"/>
              </w:rPr>
            </w:r>
          </w:p>
          <w:p>
            <w:pPr>
              <w:spacing w:line="233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доля автомобильных дорог регионального и межмуниципального значения, соответствующих нормативным </w:t>
            </w:r>
            <w:r>
              <w:rPr>
                <w:spacing w:val="-4"/>
                <w:sz w:val="28"/>
                <w:szCs w:val="28"/>
              </w:rPr>
              <w:t xml:space="preserve">требованиям;</w:t>
            </w:r>
            <w:r>
              <w:rPr>
                <w:spacing w:val="-4"/>
                <w:sz w:val="28"/>
                <w:szCs w:val="28"/>
              </w:rPr>
            </w:r>
          </w:p>
          <w:p>
            <w:pPr>
              <w:spacing w:line="233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доля дорожной сети городских агломераций, находящаяся в нормативном состоянии;</w:t>
            </w:r>
            <w:r>
              <w:rPr>
                <w:spacing w:val="-4"/>
                <w:sz w:val="28"/>
                <w:szCs w:val="28"/>
              </w:rPr>
            </w:r>
          </w:p>
          <w:p>
            <w:pPr>
              <w:spacing w:line="233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доля отечественного оборудования (товаров, работ, услуг) в общем объеме закупок;</w:t>
            </w:r>
            <w:r>
              <w:rPr>
                <w:spacing w:val="-4"/>
                <w:sz w:val="28"/>
                <w:szCs w:val="28"/>
              </w:rPr>
            </w:r>
          </w:p>
          <w:p>
            <w:pPr>
              <w:spacing w:line="233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протяженность приведенных в нормативное состояние искусственных сооружений на автом</w:t>
            </w:r>
            <w:r>
              <w:rPr>
                <w:spacing w:val="-4"/>
                <w:sz w:val="28"/>
                <w:szCs w:val="28"/>
              </w:rPr>
              <w:t xml:space="preserve">обильных дорогах регионального или межмуниципального и местного значения (накопленным итогом);</w:t>
            </w:r>
            <w:r>
              <w:rPr>
                <w:spacing w:val="-4"/>
                <w:sz w:val="28"/>
                <w:szCs w:val="28"/>
              </w:rPr>
            </w:r>
          </w:p>
          <w:p>
            <w:pPr>
              <w:spacing w:line="233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доля автомобильных дорог регионального значения, входящих в опорную сеть, соответствующих нормативным требованиям;</w:t>
            </w:r>
            <w:r>
              <w:rPr>
                <w:spacing w:val="-4"/>
                <w:sz w:val="28"/>
                <w:szCs w:val="28"/>
              </w:rPr>
            </w:r>
          </w:p>
          <w:p>
            <w:pPr>
              <w:spacing w:line="233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доля объектов, на которых предусматривается ис</w:t>
            </w:r>
            <w:r>
              <w:rPr>
                <w:spacing w:val="-4"/>
                <w:sz w:val="28"/>
                <w:szCs w:val="28"/>
              </w:rPr>
              <w:t xml:space="preserve">пользование новых и наилучших технологий, включенных в Реестр </w:t>
            </w:r>
            <w:r>
              <w:rPr>
                <w:spacing w:val="-4"/>
                <w:sz w:val="28"/>
                <w:szCs w:val="28"/>
                <w:vertAlign w:val="superscript"/>
              </w:rPr>
              <w:t xml:space="preserve">*)</w:t>
            </w:r>
            <w:r>
              <w:rPr>
                <w:spacing w:val="-4"/>
                <w:sz w:val="28"/>
                <w:szCs w:val="28"/>
              </w:rPr>
              <w:t xml:space="preserve">;</w:t>
            </w:r>
            <w:r>
              <w:rPr>
                <w:spacing w:val="-4"/>
                <w:sz w:val="28"/>
                <w:szCs w:val="28"/>
              </w:rPr>
            </w:r>
          </w:p>
          <w:p>
            <w:pPr>
              <w:spacing w:line="233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доля контрактов жизненного цикла, предусматривающих выполнение работ по строительству, реконструкции, капитальному ремонту автомобильных дорог регионального (межмуниципального) значения;</w:t>
            </w:r>
            <w:r>
              <w:rPr>
                <w:spacing w:val="-4"/>
                <w:sz w:val="28"/>
                <w:szCs w:val="28"/>
              </w:rPr>
            </w:r>
          </w:p>
          <w:p>
            <w:pPr>
              <w:spacing w:line="233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дол</w:t>
            </w:r>
            <w:r>
              <w:rPr>
                <w:spacing w:val="-4"/>
                <w:sz w:val="28"/>
                <w:szCs w:val="28"/>
              </w:rPr>
              <w:t xml:space="preserve">я автомобильных дорог регионального значения, входящих в опорную сеть, рассчитанных на нормативную нагрузку не менее 11,5 тонны на ось;</w:t>
            </w:r>
            <w:r>
              <w:rPr>
                <w:spacing w:val="-4"/>
                <w:sz w:val="28"/>
                <w:szCs w:val="28"/>
              </w:rPr>
            </w:r>
          </w:p>
          <w:p>
            <w:pPr>
              <w:spacing w:line="233" w:lineRule="auto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доля искусственных сооружений, расположенных на автомобильных дорогах общего пользования регионального значения, входящи</w:t>
            </w:r>
            <w:r>
              <w:rPr>
                <w:spacing w:val="-4"/>
                <w:sz w:val="28"/>
                <w:szCs w:val="28"/>
              </w:rPr>
              <w:t xml:space="preserve">х в опорную сеть, рассчитанных на нагрузку не менее А11;</w:t>
            </w:r>
            <w:r>
              <w:rPr>
                <w:spacing w:val="-4"/>
                <w:sz w:val="28"/>
                <w:szCs w:val="28"/>
              </w:rPr>
            </w:r>
          </w:p>
          <w:p>
            <w:pPr>
              <w:shd w:val="clear" w:color="ffffff" w:fill="ffffff"/>
              <w:rPr>
                <w:color w:val="22272f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22272f"/>
                <w:sz w:val="28"/>
                <w:szCs w:val="28"/>
              </w:rPr>
              <w:t xml:space="preserve">доля автомобильных дорог, входящих в опорную сеть, соответствующих нормативным требованиям;</w:t>
            </w:r>
            <w:r>
              <w:rPr>
                <w:color w:val="22272f"/>
                <w:sz w:val="28"/>
                <w:szCs w:val="28"/>
              </w:rPr>
            </w:r>
          </w:p>
          <w:p>
            <w:pPr>
              <w:shd w:val="clear" w:color="ffffff" w:fill="ffffff"/>
              <w:rPr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22272f"/>
                <w:sz w:val="28"/>
                <w:szCs w:val="28"/>
              </w:rPr>
              <w:t xml:space="preserve">доля городов с населением свыше 300 тысяч человек по состоянию на 1 января 2020 г. (за исключением Москвы и городов, расположенных на территориях Московской и Ленинградских областей), входящих в состав городских агломераций, и достигших не менее чем первог</w:t>
            </w:r>
            <w:r>
              <w:rPr>
                <w:color w:val="22272f"/>
                <w:sz w:val="28"/>
                <w:szCs w:val="28"/>
              </w:rPr>
              <w:t xml:space="preserve">о уровня зрелости интеллектуальной транспортной системы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758"/>
        </w:trPr>
        <w:tc>
          <w:tcPr>
            <w:shd w:val="clear" w:color="auto" w:fill="auto"/>
            <w:tcW w:w="4065" w:type="dxa"/>
            <w:textDirection w:val="lrTb"/>
            <w:noWrap w:val="false"/>
          </w:tcPr>
          <w:p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бюджетных ассигнований государственной программы, в том числе по годам реализации </w:t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5996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173 774 564,7 тыс. рублей, в том числе: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22 480 766,4 тыс. 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17 046 352,1</w:t>
            </w:r>
            <w:r>
              <w:rPr>
                <w:sz w:val="28"/>
                <w:szCs w:val="28"/>
              </w:rPr>
              <w:t xml:space="preserve"> тыс. 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23 286 829,5 тыс. 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25 214 469,9 тыс. 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23 991 853,8 тыс. 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– 25 246 729,2 тыс. 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год – 18 253 781,9 тыс. рублей;</w:t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год – 18 253 781,9 тыс. рублей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52"/>
        </w:trPr>
        <w:tc>
          <w:tcPr>
            <w:shd w:val="clear" w:color="auto" w:fill="auto"/>
            <w:tcW w:w="4065" w:type="dxa"/>
            <w:textDirection w:val="lrTb"/>
            <w:noWrap w:val="false"/>
          </w:tcPr>
          <w:p>
            <w:pPr>
              <w:spacing w:line="259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Влияние на достижение национальных целей развития Российской Федерации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5996" w:type="dxa"/>
            <w:textDirection w:val="lrTb"/>
            <w:noWrap w:val="false"/>
          </w:tcPr>
          <w:p>
            <w:pPr>
              <w:shd w:val="clear" w:color="ffffff" w:fill="ffffff"/>
              <w:rPr>
                <w:color w:val="000000" w:themeColor="text1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 w:themeColor="text1"/>
                <w:sz w:val="28"/>
                <w:szCs w:val="28"/>
              </w:rPr>
              <w:t xml:space="preserve">«Комфортная и безопасная среда для жизни»:</w:t>
            </w:r>
            <w:r>
              <w:rPr>
                <w:color w:val="000000" w:themeColor="text1"/>
                <w:sz w:val="28"/>
                <w:szCs w:val="28"/>
              </w:rPr>
            </w:r>
          </w:p>
          <w:p>
            <w:pPr>
              <w:shd w:val="clear" w:color="ffffff" w:fill="ffffff"/>
              <w:rPr>
                <w:color w:val="000000" w:themeColor="text1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 w:themeColor="text1"/>
                <w:sz w:val="28"/>
                <w:szCs w:val="28"/>
              </w:rPr>
              <w:t xml:space="preserve">показатель «Обеспечение доли дорожной сети в крупнейших городских агломерациях, соответствующей нормативным требованиям, на уровне не менее 85</w:t>
            </w:r>
            <w:r>
              <w:rPr>
                <w:color w:val="000000" w:themeColor="text1"/>
                <w:sz w:val="28"/>
                <w:szCs w:val="28"/>
              </w:rPr>
              <w:t xml:space="preserve"> процентов»;</w:t>
            </w:r>
            <w:r>
              <w:rPr>
                <w:color w:val="000000" w:themeColor="text1"/>
                <w:sz w:val="28"/>
                <w:szCs w:val="28"/>
              </w:rPr>
            </w:r>
          </w:p>
          <w:p>
            <w:pPr>
              <w:shd w:val="clear" w:color="ffffff" w:fill="ffffff"/>
              <w:rPr>
                <w:color w:val="000000" w:themeColor="text1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 w:themeColor="text1"/>
                <w:sz w:val="28"/>
                <w:szCs w:val="28"/>
              </w:rPr>
              <w:t xml:space="preserve">«Комфортная и безопасная среда для жизни»:</w:t>
            </w:r>
            <w:r>
              <w:rPr>
                <w:color w:val="000000" w:themeColor="text1"/>
                <w:sz w:val="28"/>
                <w:szCs w:val="28"/>
              </w:rPr>
            </w:r>
          </w:p>
          <w:p>
            <w:pPr>
              <w:shd w:val="clear" w:color="ffffff" w:fill="ffffff"/>
              <w:rPr>
                <w:color w:val="000000" w:themeColor="text1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 w:themeColor="text1"/>
                <w:sz w:val="28"/>
                <w:szCs w:val="28"/>
              </w:rPr>
              <w:t xml:space="preserve">показатель «Увеличение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</w:t>
            </w:r>
            <w:r>
              <w:rPr>
                <w:color w:val="000000" w:themeColor="text1"/>
                <w:sz w:val="28"/>
                <w:szCs w:val="28"/>
              </w:rPr>
              <w:t xml:space="preserve"> сети автомобильных дорог - не менее чем до 85 процентов, автомобильных дорог регионального или межмуниципального значения - не менее чем до 60 процентов»</w:t>
            </w:r>
            <w:r>
              <w:rPr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89"/>
        </w:trPr>
        <w:tc>
          <w:tcPr>
            <w:shd w:val="clear" w:color="auto" w:fill="auto"/>
            <w:tcW w:w="4065" w:type="dxa"/>
            <w:textDirection w:val="lrTb"/>
            <w:noWrap w:val="false"/>
          </w:tcPr>
          <w:p>
            <w:pPr>
              <w:spacing w:line="259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Связь с иными государственными программами Оренбургской области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shd w:val="clear" w:color="auto" w:fill="auto"/>
            <w:tcW w:w="5996" w:type="dxa"/>
            <w:textDirection w:val="lrTb"/>
            <w:noWrap w:val="false"/>
          </w:tcPr>
          <w:p>
            <w:pPr>
              <w:spacing w:line="259" w:lineRule="auto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</w:r>
          </w:p>
        </w:tc>
      </w:tr>
    </w:tbl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p>
      <w:pPr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*) Реестр </w:t>
      </w:r>
      <w:r>
        <w:rPr>
          <w:color w:val="22272f"/>
          <w:sz w:val="28"/>
          <w:szCs w:val="28"/>
          <w:shd w:val="clear" w:color="auto" w:fill="ffffff"/>
        </w:rPr>
        <w:t xml:space="preserve">новых и наилучших технологий, материалов и технологических решений повторного применения.</w:t>
      </w:r>
      <w:r>
        <w:rPr>
          <w:color w:val="22272f"/>
          <w:sz w:val="28"/>
          <w:szCs w:val="28"/>
          <w:shd w:val="clear" w:color="auto" w:fill="ffffff"/>
        </w:rPr>
      </w:r>
    </w:p>
    <w:sectPr>
      <w:headerReference w:type="default" r:id="rId9"/>
      <w:footnotePr/>
      <w:endnotePr/>
      <w:type w:val="nextPage"/>
      <w:pgSz w:w="11906" w:h="16838" w:orient="portrait"/>
      <w:pgMar w:top="1440" w:right="707" w:bottom="1440" w:left="1440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0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 xml:space="preserve">2</w:t>
    </w:r>
    <w:r>
      <w:rPr>
        <w:sz w:val="28"/>
        <w:szCs w:val="28"/>
      </w:rPr>
      <w:fldChar w:fldCharType="end"/>
    </w:r>
    <w:r>
      <w:rPr>
        <w:sz w:val="28"/>
        <w:szCs w:val="28"/>
      </w:rPr>
    </w:r>
  </w:p>
  <w:p>
    <w:pPr>
      <w:pStyle w:val="8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7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9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1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3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5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7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9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1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35" w:hanging="18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33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95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91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3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5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7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9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1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3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5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7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35" w:hanging="46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618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690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762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834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906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978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050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1223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1"/>
    <w:link w:val="682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1"/>
    <w:link w:val="683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1"/>
    <w:link w:val="68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1"/>
    <w:link w:val="68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1"/>
    <w:link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1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1"/>
    <w:link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1"/>
    <w:link w:val="690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1"/>
    <w:link w:val="704"/>
    <w:uiPriority w:val="10"/>
    <w:rPr>
      <w:sz w:val="48"/>
      <w:szCs w:val="48"/>
    </w:rPr>
  </w:style>
  <w:style w:type="character" w:styleId="37">
    <w:name w:val="Subtitle Char"/>
    <w:basedOn w:val="691"/>
    <w:link w:val="706"/>
    <w:uiPriority w:val="11"/>
    <w:rPr>
      <w:sz w:val="24"/>
      <w:szCs w:val="24"/>
    </w:rPr>
  </w:style>
  <w:style w:type="character" w:styleId="39">
    <w:name w:val="Quote Char"/>
    <w:link w:val="708"/>
    <w:uiPriority w:val="29"/>
    <w:rPr>
      <w:i/>
    </w:rPr>
  </w:style>
  <w:style w:type="character" w:styleId="41">
    <w:name w:val="Intense Quote Char"/>
    <w:link w:val="710"/>
    <w:uiPriority w:val="30"/>
    <w:rPr>
      <w:i/>
    </w:rPr>
  </w:style>
  <w:style w:type="character" w:styleId="47">
    <w:name w:val="Caption Char"/>
    <w:basedOn w:val="714"/>
    <w:link w:val="866"/>
    <w:uiPriority w:val="99"/>
  </w:style>
  <w:style w:type="character" w:styleId="176">
    <w:name w:val="Footnote Text Char"/>
    <w:link w:val="842"/>
    <w:uiPriority w:val="99"/>
    <w:rPr>
      <w:sz w:val="18"/>
    </w:rPr>
  </w:style>
  <w:style w:type="character" w:styleId="179">
    <w:name w:val="Endnote Text Char"/>
    <w:link w:val="845"/>
    <w:uiPriority w:val="99"/>
    <w:rPr>
      <w:sz w:val="20"/>
    </w:rPr>
  </w:style>
  <w:style w:type="paragraph" w:styleId="68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682">
    <w:name w:val="Heading 1"/>
    <w:basedOn w:val="681"/>
    <w:next w:val="681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3">
    <w:name w:val="Heading 2"/>
    <w:basedOn w:val="681"/>
    <w:next w:val="681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4">
    <w:name w:val="Heading 3"/>
    <w:basedOn w:val="681"/>
    <w:next w:val="681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5">
    <w:name w:val="Heading 4"/>
    <w:basedOn w:val="681"/>
    <w:next w:val="681"/>
    <w:link w:val="6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681"/>
    <w:next w:val="681"/>
    <w:link w:val="6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7">
    <w:name w:val="Heading 6"/>
    <w:basedOn w:val="681"/>
    <w:next w:val="681"/>
    <w:link w:val="6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681"/>
    <w:next w:val="681"/>
    <w:link w:val="70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9">
    <w:name w:val="Heading 8"/>
    <w:basedOn w:val="681"/>
    <w:next w:val="681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681"/>
    <w:next w:val="681"/>
    <w:link w:val="7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 w:default="1">
    <w:name w:val="Default Paragraph Font"/>
    <w:uiPriority w:val="1"/>
    <w:semiHidden/>
    <w:unhideWhenUsed/>
  </w:style>
  <w:style w:type="table" w:styleId="6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3" w:default="1">
    <w:name w:val="No List"/>
    <w:uiPriority w:val="99"/>
    <w:semiHidden/>
    <w:unhideWhenUsed/>
  </w:style>
  <w:style w:type="character" w:styleId="694" w:customStyle="1">
    <w:name w:val="Заголовок 1 Знак"/>
    <w:basedOn w:val="691"/>
    <w:link w:val="682"/>
    <w:uiPriority w:val="9"/>
    <w:rPr>
      <w:rFonts w:ascii="Arial" w:hAnsi="Arial" w:eastAsia="Arial" w:cs="Arial"/>
      <w:sz w:val="40"/>
      <w:szCs w:val="40"/>
    </w:rPr>
  </w:style>
  <w:style w:type="character" w:styleId="695" w:customStyle="1">
    <w:name w:val="Заголовок 2 Знак"/>
    <w:basedOn w:val="691"/>
    <w:link w:val="683"/>
    <w:uiPriority w:val="9"/>
    <w:rPr>
      <w:rFonts w:ascii="Arial" w:hAnsi="Arial" w:eastAsia="Arial" w:cs="Arial"/>
      <w:sz w:val="34"/>
    </w:rPr>
  </w:style>
  <w:style w:type="character" w:styleId="696" w:customStyle="1">
    <w:name w:val="Заголовок 3 Знак"/>
    <w:basedOn w:val="691"/>
    <w:link w:val="684"/>
    <w:uiPriority w:val="9"/>
    <w:rPr>
      <w:rFonts w:ascii="Arial" w:hAnsi="Arial" w:eastAsia="Arial" w:cs="Arial"/>
      <w:sz w:val="30"/>
      <w:szCs w:val="30"/>
    </w:rPr>
  </w:style>
  <w:style w:type="character" w:styleId="697" w:customStyle="1">
    <w:name w:val="Заголовок 4 Знак"/>
    <w:basedOn w:val="69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character" w:styleId="698" w:customStyle="1">
    <w:name w:val="Заголовок 5 Знак"/>
    <w:basedOn w:val="691"/>
    <w:link w:val="686"/>
    <w:uiPriority w:val="9"/>
    <w:rPr>
      <w:rFonts w:ascii="Arial" w:hAnsi="Arial" w:eastAsia="Arial" w:cs="Arial"/>
      <w:b/>
      <w:bCs/>
      <w:sz w:val="24"/>
      <w:szCs w:val="24"/>
    </w:rPr>
  </w:style>
  <w:style w:type="character" w:styleId="699" w:customStyle="1">
    <w:name w:val="Заголовок 6 Знак"/>
    <w:basedOn w:val="691"/>
    <w:link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700" w:customStyle="1">
    <w:name w:val="Заголовок 7 Знак"/>
    <w:basedOn w:val="691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1" w:customStyle="1">
    <w:name w:val="Заголовок 8 Знак"/>
    <w:basedOn w:val="691"/>
    <w:link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702" w:customStyle="1">
    <w:name w:val="Заголовок 9 Знак"/>
    <w:basedOn w:val="691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703">
    <w:name w:val="No Spacing"/>
    <w:uiPriority w:val="1"/>
    <w:qFormat/>
    <w:pPr>
      <w:spacing w:after="0" w:line="240" w:lineRule="auto"/>
    </w:pPr>
  </w:style>
  <w:style w:type="paragraph" w:styleId="704">
    <w:name w:val="Title"/>
    <w:basedOn w:val="681"/>
    <w:next w:val="681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 w:customStyle="1">
    <w:name w:val="Заголовок Знак"/>
    <w:basedOn w:val="691"/>
    <w:link w:val="704"/>
    <w:uiPriority w:val="10"/>
    <w:rPr>
      <w:sz w:val="48"/>
      <w:szCs w:val="48"/>
    </w:rPr>
  </w:style>
  <w:style w:type="paragraph" w:styleId="706">
    <w:name w:val="Subtitle"/>
    <w:basedOn w:val="681"/>
    <w:next w:val="681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 w:customStyle="1">
    <w:name w:val="Подзаголовок Знак"/>
    <w:basedOn w:val="691"/>
    <w:link w:val="706"/>
    <w:uiPriority w:val="11"/>
    <w:rPr>
      <w:sz w:val="24"/>
      <w:szCs w:val="24"/>
    </w:rPr>
  </w:style>
  <w:style w:type="paragraph" w:styleId="708">
    <w:name w:val="Quote"/>
    <w:basedOn w:val="681"/>
    <w:next w:val="681"/>
    <w:link w:val="709"/>
    <w:uiPriority w:val="29"/>
    <w:qFormat/>
    <w:pPr>
      <w:ind w:left="720" w:right="720"/>
    </w:pPr>
    <w:rPr>
      <w:i/>
    </w:rPr>
  </w:style>
  <w:style w:type="character" w:styleId="709" w:customStyle="1">
    <w:name w:val="Цитата 2 Знак"/>
    <w:link w:val="708"/>
    <w:uiPriority w:val="29"/>
    <w:rPr>
      <w:i/>
    </w:rPr>
  </w:style>
  <w:style w:type="paragraph" w:styleId="710">
    <w:name w:val="Intense Quote"/>
    <w:basedOn w:val="681"/>
    <w:next w:val="681"/>
    <w:link w:val="71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 w:customStyle="1">
    <w:name w:val="Выделенная цитата Знак"/>
    <w:link w:val="710"/>
    <w:uiPriority w:val="30"/>
    <w:rPr>
      <w:i/>
    </w:rPr>
  </w:style>
  <w:style w:type="character" w:styleId="712" w:customStyle="1">
    <w:name w:val="Header Char"/>
    <w:basedOn w:val="691"/>
    <w:uiPriority w:val="99"/>
  </w:style>
  <w:style w:type="character" w:styleId="713" w:customStyle="1">
    <w:name w:val="Footer Char"/>
    <w:basedOn w:val="691"/>
    <w:uiPriority w:val="99"/>
  </w:style>
  <w:style w:type="paragraph" w:styleId="714">
    <w:name w:val="Caption"/>
    <w:basedOn w:val="681"/>
    <w:next w:val="681"/>
    <w:link w:val="715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5" w:customStyle="1">
    <w:name w:val="Название объекта Знак"/>
    <w:basedOn w:val="691"/>
    <w:link w:val="714"/>
    <w:uiPriority w:val="35"/>
    <w:rPr>
      <w:b/>
      <w:bCs/>
      <w:color w:val="5b9bd5" w:themeColor="accent1"/>
      <w:sz w:val="18"/>
      <w:szCs w:val="18"/>
    </w:rPr>
  </w:style>
  <w:style w:type="table" w:styleId="716" w:customStyle="1">
    <w:name w:val="Table Grid Light"/>
    <w:basedOn w:val="69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9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9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5" w:customStyle="1">
    <w:name w:val="Grid Table 4 - Accent 2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6" w:customStyle="1">
    <w:name w:val="Grid Table 4 - Accent 3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7" w:customStyle="1">
    <w:name w:val="Grid Table 4 - Accent 4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8" w:customStyle="1">
    <w:name w:val="Grid Table 4 - Accent 5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9" w:customStyle="1">
    <w:name w:val="Grid Table 4 - Accent 6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0">
    <w:name w:val="Grid Table 5 Dark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9" w:customStyle="1">
    <w:name w:val="Grid Table 6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0" w:customStyle="1">
    <w:name w:val="Grid Table 6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1" w:customStyle="1">
    <w:name w:val="Grid Table 6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2" w:customStyle="1">
    <w:name w:val="Grid Table 6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3" w:customStyle="1">
    <w:name w:val="Grid Table 6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>
    <w:name w:val="Grid Table 7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8" w:customStyle="1">
    <w:name w:val="List Table 6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9" w:customStyle="1">
    <w:name w:val="List Table 6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0" w:customStyle="1">
    <w:name w:val="List Table 6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1" w:customStyle="1">
    <w:name w:val="List Table 6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2" w:customStyle="1">
    <w:name w:val="List Table 6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3">
    <w:name w:val="List Table 7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Lined - Accent 2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Lined - Accent 3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Lined - Accent 4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Lined - Accent 5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Lined - Accent 6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 &amp; Lined - Accent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9" w:customStyle="1">
    <w:name w:val="Bordered &amp; Lined - Accent 2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0" w:customStyle="1">
    <w:name w:val="Bordered &amp; Lined - Accent 3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1" w:customStyle="1">
    <w:name w:val="Bordered &amp; Lined - Accent 4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2" w:customStyle="1">
    <w:name w:val="Bordered &amp; Lined - Accent 5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3" w:customStyle="1">
    <w:name w:val="Bordered &amp; Lined - Accent 6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4" w:customStyle="1">
    <w:name w:val="Bordered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6" w:customStyle="1">
    <w:name w:val="Bordered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7" w:customStyle="1">
    <w:name w:val="Bordered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8" w:customStyle="1">
    <w:name w:val="Bordered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9" w:customStyle="1">
    <w:name w:val="Bordered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0" w:customStyle="1">
    <w:name w:val="Bordered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563c1" w:themeColor="hyperlink"/>
      <w:u w:val="single"/>
    </w:rPr>
  </w:style>
  <w:style w:type="paragraph" w:styleId="842">
    <w:name w:val="footnote text"/>
    <w:basedOn w:val="681"/>
    <w:link w:val="843"/>
    <w:uiPriority w:val="99"/>
    <w:semiHidden/>
    <w:unhideWhenUsed/>
    <w:pPr>
      <w:spacing w:after="40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91"/>
    <w:uiPriority w:val="99"/>
    <w:unhideWhenUsed/>
    <w:rPr>
      <w:vertAlign w:val="superscript"/>
    </w:rPr>
  </w:style>
  <w:style w:type="paragraph" w:styleId="845">
    <w:name w:val="endnote text"/>
    <w:basedOn w:val="681"/>
    <w:link w:val="846"/>
    <w:uiPriority w:val="99"/>
    <w:semiHidden/>
    <w:unhideWhenUsed/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91"/>
    <w:uiPriority w:val="99"/>
    <w:semiHidden/>
    <w:unhideWhenUsed/>
    <w:rPr>
      <w:vertAlign w:val="superscript"/>
    </w:rPr>
  </w:style>
  <w:style w:type="paragraph" w:styleId="848">
    <w:name w:val="toc 1"/>
    <w:basedOn w:val="681"/>
    <w:next w:val="681"/>
    <w:uiPriority w:val="39"/>
    <w:unhideWhenUsed/>
    <w:pPr>
      <w:spacing w:after="57"/>
    </w:pPr>
  </w:style>
  <w:style w:type="paragraph" w:styleId="849">
    <w:name w:val="toc 2"/>
    <w:basedOn w:val="681"/>
    <w:next w:val="681"/>
    <w:uiPriority w:val="39"/>
    <w:unhideWhenUsed/>
    <w:pPr>
      <w:ind w:left="283"/>
      <w:spacing w:after="57"/>
    </w:pPr>
  </w:style>
  <w:style w:type="paragraph" w:styleId="850">
    <w:name w:val="toc 3"/>
    <w:basedOn w:val="681"/>
    <w:next w:val="681"/>
    <w:uiPriority w:val="39"/>
    <w:unhideWhenUsed/>
    <w:pPr>
      <w:ind w:left="567"/>
      <w:spacing w:after="57"/>
    </w:pPr>
  </w:style>
  <w:style w:type="paragraph" w:styleId="851">
    <w:name w:val="toc 4"/>
    <w:basedOn w:val="681"/>
    <w:next w:val="681"/>
    <w:uiPriority w:val="39"/>
    <w:unhideWhenUsed/>
    <w:pPr>
      <w:ind w:left="850"/>
      <w:spacing w:after="57"/>
    </w:pPr>
  </w:style>
  <w:style w:type="paragraph" w:styleId="852">
    <w:name w:val="toc 5"/>
    <w:basedOn w:val="681"/>
    <w:next w:val="681"/>
    <w:uiPriority w:val="39"/>
    <w:unhideWhenUsed/>
    <w:pPr>
      <w:ind w:left="1134"/>
      <w:spacing w:after="57"/>
    </w:pPr>
  </w:style>
  <w:style w:type="paragraph" w:styleId="853">
    <w:name w:val="toc 6"/>
    <w:basedOn w:val="681"/>
    <w:next w:val="681"/>
    <w:uiPriority w:val="39"/>
    <w:unhideWhenUsed/>
    <w:pPr>
      <w:ind w:left="1417"/>
      <w:spacing w:after="57"/>
    </w:pPr>
  </w:style>
  <w:style w:type="paragraph" w:styleId="854">
    <w:name w:val="toc 7"/>
    <w:basedOn w:val="681"/>
    <w:next w:val="681"/>
    <w:uiPriority w:val="39"/>
    <w:unhideWhenUsed/>
    <w:pPr>
      <w:ind w:left="1701"/>
      <w:spacing w:after="57"/>
    </w:pPr>
  </w:style>
  <w:style w:type="paragraph" w:styleId="855">
    <w:name w:val="toc 8"/>
    <w:basedOn w:val="681"/>
    <w:next w:val="681"/>
    <w:uiPriority w:val="39"/>
    <w:unhideWhenUsed/>
    <w:pPr>
      <w:ind w:left="1984"/>
      <w:spacing w:after="57"/>
    </w:pPr>
  </w:style>
  <w:style w:type="paragraph" w:styleId="856">
    <w:name w:val="toc 9"/>
    <w:basedOn w:val="681"/>
    <w:next w:val="681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81"/>
    <w:next w:val="681"/>
    <w:uiPriority w:val="99"/>
    <w:unhideWhenUsed/>
  </w:style>
  <w:style w:type="paragraph" w:styleId="859">
    <w:name w:val="List Paragraph"/>
    <w:basedOn w:val="681"/>
    <w:uiPriority w:val="34"/>
    <w:qFormat/>
    <w:pPr>
      <w:contextualSpacing/>
      <w:ind w:left="720"/>
    </w:pPr>
  </w:style>
  <w:style w:type="paragraph" w:styleId="860">
    <w:name w:val="Header"/>
    <w:basedOn w:val="681"/>
    <w:link w:val="86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61" w:customStyle="1">
    <w:name w:val="Верхний колонтитул Знак"/>
    <w:basedOn w:val="691"/>
    <w:link w:val="860"/>
    <w:uiPriority w:val="99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862" w:customStyle="1">
    <w:name w:val="s_16"/>
    <w:basedOn w:val="68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863">
    <w:name w:val="Balloon Text"/>
    <w:basedOn w:val="681"/>
    <w:link w:val="86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4" w:customStyle="1">
    <w:name w:val="Текст выноски Знак"/>
    <w:basedOn w:val="691"/>
    <w:link w:val="863"/>
    <w:uiPriority w:val="99"/>
    <w:semiHidden/>
    <w:rPr>
      <w:rFonts w:ascii="Segoe UI" w:hAnsi="Segoe UI" w:eastAsia="Times New Roman" w:cs="Segoe UI"/>
      <w:sz w:val="18"/>
      <w:szCs w:val="18"/>
      <w:lang w:eastAsia="ar-SA"/>
    </w:rPr>
  </w:style>
  <w:style w:type="table" w:styleId="865">
    <w:name w:val="Table Grid"/>
    <w:basedOn w:val="69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6">
    <w:name w:val="Footer"/>
    <w:basedOn w:val="681"/>
    <w:link w:val="86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basedOn w:val="691"/>
    <w:link w:val="866"/>
    <w:uiPriority w:val="99"/>
    <w:rPr>
      <w:rFonts w:ascii="Times New Roman" w:hAnsi="Times New Roman" w:eastAsia="Times New Roman" w:cs="Times New Roman"/>
      <w:sz w:val="20"/>
      <w:szCs w:val="20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Правительство Оренбургской области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Манучарян Анаит Гамлетовна</dc:creator>
  <cp:keywords/>
  <dc:description/>
  <cp:lastModifiedBy>vsvo</cp:lastModifiedBy>
  <cp:revision>11</cp:revision>
  <dcterms:created xsi:type="dcterms:W3CDTF">2024-10-31T07:51:00Z</dcterms:created>
  <dcterms:modified xsi:type="dcterms:W3CDTF">2025-10-31T09:43:55Z</dcterms:modified>
</cp:coreProperties>
</file>